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C7AF8" w:rsidRPr="00061ECC" w:rsidRDefault="000735CD">
      <w:pPr>
        <w:pStyle w:val="Heading1"/>
        <w:keepNext w:val="0"/>
        <w:keepLines w:val="0"/>
        <w:spacing w:before="480"/>
        <w:rPr>
          <w:lang w:val="en-GB"/>
        </w:rPr>
      </w:pPr>
      <w:bookmarkStart w:id="0" w:name="_w4gp7aljytmc" w:colFirst="0" w:colLast="0"/>
      <w:bookmarkEnd w:id="0"/>
      <w:r w:rsidRPr="00061ECC">
        <w:rPr>
          <w:b/>
          <w:sz w:val="46"/>
          <w:szCs w:val="46"/>
          <w:lang w:val="en-GB"/>
        </w:rPr>
        <w:t>Press release</w:t>
      </w:r>
    </w:p>
    <w:p w14:paraId="00000002" w14:textId="77777777" w:rsidR="00EC7AF8" w:rsidRPr="00061ECC" w:rsidRDefault="000735CD">
      <w:pPr>
        <w:spacing w:before="240" w:after="240"/>
        <w:jc w:val="both"/>
        <w:rPr>
          <w:lang w:val="en-GB"/>
        </w:rPr>
      </w:pPr>
      <w:r w:rsidRPr="00061ECC">
        <w:rPr>
          <w:lang w:val="en-GB"/>
        </w:rPr>
        <w:t>Brussels, 11 March 2021</w:t>
      </w:r>
    </w:p>
    <w:p w14:paraId="00000003" w14:textId="77777777" w:rsidR="00EC7AF8" w:rsidRPr="00061ECC" w:rsidRDefault="000735CD">
      <w:pPr>
        <w:spacing w:before="240" w:after="240"/>
        <w:jc w:val="both"/>
        <w:rPr>
          <w:b/>
          <w:sz w:val="40"/>
          <w:szCs w:val="40"/>
          <w:lang w:val="en-GB"/>
        </w:rPr>
      </w:pPr>
      <w:r w:rsidRPr="00061ECC">
        <w:rPr>
          <w:b/>
          <w:color w:val="1D1C1D"/>
          <w:sz w:val="29"/>
          <w:szCs w:val="29"/>
          <w:highlight w:val="white"/>
          <w:lang w:val="en-GB"/>
        </w:rPr>
        <w:t>European Commission confirms lengthy delay, the end of EU strategy for sustainable buildings?</w:t>
      </w:r>
    </w:p>
    <w:p w14:paraId="00000004" w14:textId="6E84CF69" w:rsidR="00EC7AF8" w:rsidRPr="00061ECC" w:rsidRDefault="00061ECC">
      <w:pPr>
        <w:spacing w:before="240" w:after="240"/>
        <w:jc w:val="both"/>
        <w:rPr>
          <w:i/>
          <w:lang w:val="en-GB"/>
        </w:rPr>
      </w:pPr>
      <w:r>
        <w:rPr>
          <w:i/>
          <w:lang w:val="en-GB"/>
        </w:rPr>
        <w:t>3</w:t>
      </w:r>
      <w:r w:rsidR="000735CD">
        <w:rPr>
          <w:i/>
          <w:lang w:val="en-GB"/>
        </w:rPr>
        <w:t>1</w:t>
      </w:r>
      <w:r w:rsidR="000735CD" w:rsidRPr="00061ECC">
        <w:rPr>
          <w:i/>
          <w:lang w:val="en-GB"/>
        </w:rPr>
        <w:t xml:space="preserve"> signatories, representing a diverse range of stakeholders, call for delivery of EU Strategy for a Sustainable Built Environment in a letter [1] addressed to European Commission’s executive vice president Frans Timmermans, and commissioners Thierry Breton </w:t>
      </w:r>
      <w:r w:rsidR="000735CD" w:rsidRPr="00061ECC">
        <w:rPr>
          <w:i/>
          <w:lang w:val="en-GB"/>
        </w:rPr>
        <w:t xml:space="preserve">and Virginijus Sinkevičius. </w:t>
      </w:r>
    </w:p>
    <w:p w14:paraId="00000005" w14:textId="77777777" w:rsidR="00EC7AF8" w:rsidRPr="00061ECC" w:rsidRDefault="000735CD">
      <w:pPr>
        <w:spacing w:before="240" w:after="240"/>
        <w:jc w:val="both"/>
        <w:rPr>
          <w:lang w:val="en-GB"/>
        </w:rPr>
      </w:pPr>
      <w:r w:rsidRPr="00061ECC">
        <w:rPr>
          <w:lang w:val="en-GB"/>
        </w:rPr>
        <w:t>A broad coalition of 30 expert organisations sent today an open letter calling on the European Commission to deliver a strategy for a sustainable built environment to support the European Green Deal and meet EU climate goals.</w:t>
      </w:r>
    </w:p>
    <w:p w14:paraId="00000006" w14:textId="78AF2790" w:rsidR="00EC7AF8" w:rsidRPr="00061ECC" w:rsidRDefault="000735CD">
      <w:pPr>
        <w:spacing w:before="240" w:after="240"/>
        <w:jc w:val="both"/>
        <w:rPr>
          <w:lang w:val="en-GB"/>
        </w:rPr>
      </w:pPr>
      <w:r w:rsidRPr="00061ECC">
        <w:rPr>
          <w:lang w:val="en-GB"/>
        </w:rPr>
        <w:t>O</w:t>
      </w:r>
      <w:r w:rsidRPr="00061ECC">
        <w:rPr>
          <w:lang w:val="en-GB"/>
        </w:rPr>
        <w:t>ne year after the launch of the Circular Economy Action Plan (CEAP), there is no clear timeline for a EU Strategy for a Sustainable Built Environment. At the moment, the European Commission is even openly questioning its intentions to go ahead with this st</w:t>
      </w:r>
      <w:r w:rsidRPr="00061ECC">
        <w:rPr>
          <w:lang w:val="en-GB"/>
        </w:rPr>
        <w:t>rategy.</w:t>
      </w:r>
      <w:r w:rsidRPr="00061ECC">
        <w:rPr>
          <w:i/>
          <w:lang w:val="en-GB"/>
        </w:rPr>
        <w:t xml:space="preserve"> </w:t>
      </w:r>
      <w:r w:rsidRPr="00061ECC">
        <w:rPr>
          <w:b/>
          <w:bCs/>
          <w:lang w:val="en-GB"/>
        </w:rPr>
        <w:t>This has tri</w:t>
      </w:r>
      <w:r w:rsidRPr="00061ECC">
        <w:rPr>
          <w:b/>
          <w:bCs/>
          <w:lang w:val="en-GB"/>
        </w:rPr>
        <w:t xml:space="preserve">ggered </w:t>
      </w:r>
      <w:r w:rsidR="00061ECC" w:rsidRPr="00061ECC">
        <w:rPr>
          <w:b/>
          <w:bCs/>
          <w:lang w:val="en-GB"/>
        </w:rPr>
        <w:t>3</w:t>
      </w:r>
      <w:r>
        <w:rPr>
          <w:b/>
          <w:bCs/>
          <w:lang w:val="en-GB"/>
        </w:rPr>
        <w:t>1</w:t>
      </w:r>
      <w:r w:rsidRPr="00061ECC">
        <w:rPr>
          <w:b/>
          <w:bCs/>
          <w:lang w:val="en-GB"/>
        </w:rPr>
        <w:t xml:space="preserve"> </w:t>
      </w:r>
      <w:r w:rsidRPr="00061ECC">
        <w:rPr>
          <w:b/>
          <w:bCs/>
          <w:lang w:val="en-GB"/>
        </w:rPr>
        <w:t>organisations</w:t>
      </w:r>
      <w:r w:rsidRPr="00061ECC">
        <w:rPr>
          <w:b/>
          <w:bCs/>
          <w:lang w:val="en-GB"/>
        </w:rPr>
        <w:t xml:space="preserve"> to call for an ambitious EU Strategy for a Sustainable Built Environment (SSBE) </w:t>
      </w:r>
      <w:r w:rsidRPr="00061ECC">
        <w:rPr>
          <w:b/>
          <w:bCs/>
          <w:lang w:val="en-GB"/>
        </w:rPr>
        <w:t>to be published by the end of 2021</w:t>
      </w:r>
      <w:r w:rsidRPr="00061ECC">
        <w:rPr>
          <w:lang w:val="en-GB"/>
        </w:rPr>
        <w:t>, in line with commitments set in the CEAP.</w:t>
      </w:r>
    </w:p>
    <w:p w14:paraId="00000007" w14:textId="77777777" w:rsidR="00EC7AF8" w:rsidRPr="00061ECC" w:rsidRDefault="000735CD">
      <w:pPr>
        <w:spacing w:before="240" w:after="240"/>
        <w:jc w:val="both"/>
        <w:rPr>
          <w:lang w:val="en-GB"/>
        </w:rPr>
      </w:pPr>
      <w:r w:rsidRPr="00061ECC">
        <w:rPr>
          <w:lang w:val="en-GB"/>
        </w:rPr>
        <w:t>Such strategy is essential to tackle the substantial i</w:t>
      </w:r>
      <w:r w:rsidRPr="00061ECC">
        <w:rPr>
          <w:lang w:val="en-GB"/>
        </w:rPr>
        <w:t>mpacts of EU buildings and the construction industry, which account for an estimated 50% of energy consumption, 36% of CO2 emissions, 50% of raw materials, and 33% of waste and water use [2].</w:t>
      </w:r>
    </w:p>
    <w:p w14:paraId="00000008" w14:textId="77777777" w:rsidR="00EC7AF8" w:rsidRPr="00061ECC" w:rsidRDefault="000735CD">
      <w:pPr>
        <w:spacing w:before="240" w:after="240"/>
        <w:jc w:val="both"/>
        <w:rPr>
          <w:lang w:val="en-GB"/>
        </w:rPr>
      </w:pPr>
      <w:r w:rsidRPr="00061ECC">
        <w:rPr>
          <w:lang w:val="en-GB"/>
        </w:rPr>
        <w:t>The letter has been sent today, on 11 March 2021, exactly one ye</w:t>
      </w:r>
      <w:r w:rsidRPr="00061ECC">
        <w:rPr>
          <w:lang w:val="en-GB"/>
        </w:rPr>
        <w:t>ar after the release of the EU Circular Economy Action Plan. One year on, no strategy for sustainable buildings has been presented, nor is it expected this year as planned.</w:t>
      </w:r>
    </w:p>
    <w:p w14:paraId="00000009" w14:textId="77777777" w:rsidR="00EC7AF8" w:rsidRPr="00061ECC" w:rsidRDefault="000735CD">
      <w:pPr>
        <w:spacing w:before="240" w:after="240"/>
        <w:jc w:val="both"/>
        <w:rPr>
          <w:lang w:val="en-GB"/>
        </w:rPr>
      </w:pPr>
      <w:r w:rsidRPr="00061ECC">
        <w:rPr>
          <w:lang w:val="en-GB"/>
        </w:rPr>
        <w:t xml:space="preserve">Signatories include environmental NGOs, industry stakeholders, and representatives </w:t>
      </w:r>
      <w:r w:rsidRPr="00061ECC">
        <w:rPr>
          <w:lang w:val="en-GB"/>
        </w:rPr>
        <w:t>from cities and regions.</w:t>
      </w:r>
      <w:r w:rsidRPr="00061ECC">
        <w:rPr>
          <w:i/>
          <w:lang w:val="en-GB"/>
        </w:rPr>
        <w:t xml:space="preserve"> </w:t>
      </w:r>
    </w:p>
    <w:p w14:paraId="0000000A" w14:textId="77777777" w:rsidR="00EC7AF8" w:rsidRPr="00061ECC" w:rsidRDefault="000735CD">
      <w:pPr>
        <w:spacing w:before="240" w:after="240"/>
        <w:jc w:val="both"/>
        <w:rPr>
          <w:i/>
          <w:lang w:val="en-GB"/>
        </w:rPr>
      </w:pPr>
      <w:r w:rsidRPr="00061ECC">
        <w:rPr>
          <w:lang w:val="en-GB"/>
        </w:rPr>
        <w:t>A strategy is essential to address the sector’s high impacts, and make clear links between existing legislative proposals highlighted within the CEAP [3], and all other relevant legislation currently being revised [4].</w:t>
      </w:r>
    </w:p>
    <w:p w14:paraId="0000000B" w14:textId="77777777" w:rsidR="00EC7AF8" w:rsidRPr="00061ECC" w:rsidRDefault="000735CD">
      <w:pPr>
        <w:spacing w:before="240" w:after="240"/>
        <w:jc w:val="both"/>
        <w:rPr>
          <w:lang w:val="en-GB"/>
        </w:rPr>
      </w:pPr>
      <w:r w:rsidRPr="00061ECC">
        <w:rPr>
          <w:b/>
          <w:lang w:val="en-GB"/>
        </w:rPr>
        <w:t>Michael Nea</w:t>
      </w:r>
      <w:r w:rsidRPr="00061ECC">
        <w:rPr>
          <w:b/>
          <w:lang w:val="en-GB"/>
        </w:rPr>
        <w:t>ves, programme manager at ECOS</w:t>
      </w:r>
      <w:r w:rsidRPr="00061ECC">
        <w:rPr>
          <w:lang w:val="en-GB"/>
        </w:rPr>
        <w:t>, stated that:</w:t>
      </w:r>
    </w:p>
    <w:p w14:paraId="0000000C" w14:textId="77777777" w:rsidR="00EC7AF8" w:rsidRPr="00061ECC" w:rsidRDefault="000735CD">
      <w:pPr>
        <w:spacing w:before="240" w:after="240"/>
        <w:jc w:val="both"/>
        <w:rPr>
          <w:i/>
          <w:lang w:val="en-GB"/>
        </w:rPr>
      </w:pPr>
      <w:r w:rsidRPr="00061ECC">
        <w:rPr>
          <w:i/>
          <w:lang w:val="en-GB"/>
        </w:rPr>
        <w:t>‘We urge the Commission to deliver the EU Strategy for a Sustainable Built Environment in 2021 as a priority. Only this way can the EU bring the pieces of this puzzle together and drive a transition to sustainab</w:t>
      </w:r>
      <w:r w:rsidRPr="00061ECC">
        <w:rPr>
          <w:i/>
          <w:lang w:val="en-GB"/>
        </w:rPr>
        <w:t>le buildings in the EU, in support of EU climate law and the Paris Agreement.’</w:t>
      </w:r>
    </w:p>
    <w:p w14:paraId="0000000D" w14:textId="77777777" w:rsidR="00EC7AF8" w:rsidRPr="00061ECC" w:rsidRDefault="000735CD">
      <w:pPr>
        <w:spacing w:before="240" w:after="240"/>
        <w:jc w:val="both"/>
        <w:rPr>
          <w:lang w:val="en-GB"/>
        </w:rPr>
      </w:pPr>
      <w:r w:rsidRPr="00061ECC">
        <w:rPr>
          <w:lang w:val="en-GB"/>
        </w:rPr>
        <w:t xml:space="preserve"> </w:t>
      </w:r>
      <w:r w:rsidRPr="00061ECC">
        <w:rPr>
          <w:b/>
          <w:lang w:val="en-GB"/>
        </w:rPr>
        <w:t>Gonzalo Sánchez, policy officer at EEB</w:t>
      </w:r>
      <w:r w:rsidRPr="00061ECC">
        <w:rPr>
          <w:lang w:val="en-GB"/>
        </w:rPr>
        <w:t>, added:</w:t>
      </w:r>
    </w:p>
    <w:p w14:paraId="0000000E" w14:textId="77777777" w:rsidR="00EC7AF8" w:rsidRPr="00061ECC" w:rsidRDefault="000735CD">
      <w:pPr>
        <w:spacing w:before="240" w:after="240"/>
        <w:jc w:val="both"/>
        <w:rPr>
          <w:i/>
          <w:lang w:val="en-GB"/>
        </w:rPr>
      </w:pPr>
      <w:r w:rsidRPr="00061ECC">
        <w:rPr>
          <w:lang w:val="en-GB"/>
        </w:rPr>
        <w:lastRenderedPageBreak/>
        <w:t>“</w:t>
      </w:r>
      <w:r w:rsidRPr="00061ECC">
        <w:rPr>
          <w:i/>
          <w:lang w:val="en-GB"/>
        </w:rPr>
        <w:t>A European Strategy for a Sustainable Built Environment is essential to ensure the efficiency of the European policies to meet t</w:t>
      </w:r>
      <w:r w:rsidRPr="00061ECC">
        <w:rPr>
          <w:i/>
          <w:lang w:val="en-GB"/>
        </w:rPr>
        <w:t xml:space="preserve">he EU climate goals in 2030 and 2050 and is also pivotal to a circular economy and the fair transition we need in EU. A compelling sustainable strategy is the best way to ensure The sustainability of the built environment will appear hand in hand with the </w:t>
      </w:r>
      <w:r w:rsidRPr="00061ECC">
        <w:rPr>
          <w:i/>
          <w:lang w:val="en-GB"/>
        </w:rPr>
        <w:t>Circular Economy approach the commitment of the political, social, and economic actors.”</w:t>
      </w:r>
    </w:p>
    <w:p w14:paraId="0000000F" w14:textId="77777777" w:rsidR="00EC7AF8" w:rsidRPr="00061ECC" w:rsidRDefault="000735CD">
      <w:pPr>
        <w:spacing w:before="240" w:after="240"/>
        <w:jc w:val="both"/>
        <w:rPr>
          <w:b/>
          <w:lang w:val="en-GB"/>
        </w:rPr>
      </w:pPr>
      <w:r w:rsidRPr="00061ECC">
        <w:rPr>
          <w:lang w:val="en-GB"/>
        </w:rPr>
        <w:t xml:space="preserve"> </w:t>
      </w:r>
    </w:p>
    <w:p w14:paraId="00000010" w14:textId="77777777" w:rsidR="00EC7AF8" w:rsidRPr="00061ECC" w:rsidRDefault="000735CD">
      <w:pPr>
        <w:spacing w:before="240" w:after="240"/>
        <w:jc w:val="both"/>
        <w:rPr>
          <w:b/>
          <w:lang w:val="en-GB"/>
        </w:rPr>
      </w:pPr>
      <w:r w:rsidRPr="00061ECC">
        <w:rPr>
          <w:b/>
          <w:lang w:val="en-GB"/>
        </w:rPr>
        <w:t>Key messages from the letter:</w:t>
      </w:r>
    </w:p>
    <w:p w14:paraId="00000011" w14:textId="77777777" w:rsidR="00EC7AF8" w:rsidRPr="00061ECC" w:rsidRDefault="000735CD">
      <w:pPr>
        <w:numPr>
          <w:ilvl w:val="0"/>
          <w:numId w:val="2"/>
        </w:numPr>
        <w:spacing w:before="240"/>
        <w:rPr>
          <w:lang w:val="en-GB"/>
        </w:rPr>
      </w:pPr>
      <w:r w:rsidRPr="00061ECC">
        <w:rPr>
          <w:lang w:val="en-GB"/>
        </w:rPr>
        <w:t>A Strategy for a Sustainable Built Environment was announced to be published by the end of 2021.</w:t>
      </w:r>
      <w:r w:rsidRPr="00061ECC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       </w:t>
      </w:r>
    </w:p>
    <w:p w14:paraId="00000012" w14:textId="77777777" w:rsidR="00EC7AF8" w:rsidRPr="00061ECC" w:rsidRDefault="000735CD">
      <w:pPr>
        <w:numPr>
          <w:ilvl w:val="0"/>
          <w:numId w:val="2"/>
        </w:numPr>
        <w:rPr>
          <w:lang w:val="en-GB"/>
        </w:rPr>
      </w:pPr>
      <w:r w:rsidRPr="00061ECC">
        <w:rPr>
          <w:lang w:val="en-GB"/>
        </w:rPr>
        <w:t>The substantial impacts of the</w:t>
      </w:r>
      <w:r w:rsidRPr="00061ECC">
        <w:rPr>
          <w:lang w:val="en-GB"/>
        </w:rPr>
        <w:t xml:space="preserve"> sector need to be addressed as soon as possible for the EU to meet its climate goals in 2030 and 2050 respectively. </w:t>
      </w:r>
    </w:p>
    <w:p w14:paraId="00000013" w14:textId="77777777" w:rsidR="00EC7AF8" w:rsidRPr="00061ECC" w:rsidRDefault="000735CD">
      <w:pPr>
        <w:numPr>
          <w:ilvl w:val="0"/>
          <w:numId w:val="2"/>
        </w:numPr>
        <w:rPr>
          <w:lang w:val="en-GB"/>
        </w:rPr>
      </w:pPr>
      <w:r w:rsidRPr="00061ECC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r w:rsidRPr="00061ECC">
        <w:rPr>
          <w:lang w:val="en-GB"/>
        </w:rPr>
        <w:t>In order to accelerate the uptake of sustainable and circular building solutions and harmonised methodologies, and generate adequate inve</w:t>
      </w:r>
      <w:r w:rsidRPr="00061ECC">
        <w:rPr>
          <w:lang w:val="en-GB"/>
        </w:rPr>
        <w:t>stment, the construction value chain as a whole needs visibility and a clear commitment by the EU to develop a coherent legislative framework.</w:t>
      </w:r>
    </w:p>
    <w:p w14:paraId="00000014" w14:textId="77777777" w:rsidR="00EC7AF8" w:rsidRDefault="000735CD">
      <w:pPr>
        <w:numPr>
          <w:ilvl w:val="0"/>
          <w:numId w:val="2"/>
        </w:numPr>
      </w:pPr>
      <w:r w:rsidRPr="00061ECC">
        <w:rPr>
          <w:lang w:val="en-GB"/>
        </w:rPr>
        <w:t>This strategy is needed to drive sustainability, in part through circular economy practices, to tackle the impact</w:t>
      </w:r>
      <w:r w:rsidRPr="00061ECC">
        <w:rPr>
          <w:lang w:val="en-GB"/>
        </w:rPr>
        <w:t xml:space="preserve">s of buildings and the construction sector. </w:t>
      </w:r>
      <w:r>
        <w:rPr>
          <w:sz w:val="16"/>
          <w:szCs w:val="16"/>
        </w:rPr>
        <w:t xml:space="preserve">[KK1] [MN2] </w:t>
      </w:r>
    </w:p>
    <w:p w14:paraId="00000015" w14:textId="77777777" w:rsidR="00EC7AF8" w:rsidRPr="00061ECC" w:rsidRDefault="000735CD">
      <w:pPr>
        <w:numPr>
          <w:ilvl w:val="0"/>
          <w:numId w:val="2"/>
        </w:numPr>
        <w:spacing w:after="240"/>
        <w:jc w:val="both"/>
        <w:rPr>
          <w:lang w:val="en-GB"/>
        </w:rPr>
      </w:pPr>
      <w:r w:rsidRPr="00061ECC">
        <w:rPr>
          <w:lang w:val="en-GB"/>
        </w:rPr>
        <w:t>Citizens and stakeholder groups now all need clarity and strong coordination from the European Commission – a strategy to deliver a comprehensive approach to sustainability of the built environment</w:t>
      </w:r>
      <w:r w:rsidRPr="00061ECC">
        <w:rPr>
          <w:color w:val="2F5597"/>
          <w:lang w:val="en-GB"/>
        </w:rPr>
        <w:t>.</w:t>
      </w:r>
    </w:p>
    <w:p w14:paraId="00000016" w14:textId="77777777" w:rsidR="00EC7AF8" w:rsidRPr="00061ECC" w:rsidRDefault="000735CD">
      <w:pPr>
        <w:spacing w:before="240" w:after="240"/>
        <w:rPr>
          <w:lang w:val="en-GB"/>
        </w:rPr>
      </w:pPr>
      <w:r w:rsidRPr="00061ECC">
        <w:rPr>
          <w:lang w:val="en-GB"/>
        </w:rPr>
        <w:t xml:space="preserve"> </w:t>
      </w:r>
    </w:p>
    <w:p w14:paraId="00000017" w14:textId="77777777" w:rsidR="00EC7AF8" w:rsidRPr="00061ECC" w:rsidRDefault="000735CD">
      <w:pPr>
        <w:spacing w:before="240" w:after="240"/>
        <w:rPr>
          <w:b/>
          <w:lang w:val="en-GB"/>
        </w:rPr>
      </w:pPr>
      <w:r w:rsidRPr="00061ECC">
        <w:rPr>
          <w:b/>
          <w:lang w:val="en-GB"/>
        </w:rPr>
        <w:t>Full list of signatories:</w:t>
      </w:r>
    </w:p>
    <w:p w14:paraId="00000018" w14:textId="77777777" w:rsidR="00EC7AF8" w:rsidRPr="00061ECC" w:rsidRDefault="000735CD">
      <w:pPr>
        <w:spacing w:before="240" w:after="240"/>
        <w:rPr>
          <w:b/>
          <w:lang w:val="en-GB"/>
        </w:rPr>
      </w:pPr>
      <w:r w:rsidRPr="00061ECC">
        <w:rPr>
          <w:b/>
          <w:lang w:val="en-GB"/>
        </w:rPr>
        <w:t xml:space="preserve">International organisations </w:t>
      </w:r>
    </w:p>
    <w:p w14:paraId="00000019" w14:textId="77777777" w:rsidR="00EC7AF8" w:rsidRPr="00061ECC" w:rsidRDefault="000735CD">
      <w:pPr>
        <w:numPr>
          <w:ilvl w:val="0"/>
          <w:numId w:val="1"/>
        </w:numPr>
        <w:spacing w:before="240"/>
        <w:rPr>
          <w:lang w:val="en-GB"/>
        </w:rPr>
      </w:pPr>
      <w:r w:rsidRPr="00061ECC">
        <w:rPr>
          <w:lang w:val="en-GB"/>
        </w:rPr>
        <w:t>ACR +  Association of Cities and Regions for sustainable Resource management</w:t>
      </w:r>
    </w:p>
    <w:p w14:paraId="0000001A" w14:textId="77777777" w:rsidR="00EC7AF8" w:rsidRDefault="000735CD">
      <w:pPr>
        <w:numPr>
          <w:ilvl w:val="0"/>
          <w:numId w:val="1"/>
        </w:numPr>
      </w:pPr>
      <w:r>
        <w:t>Carbon Neutral Cities Alliance (CNCA)</w:t>
      </w:r>
    </w:p>
    <w:p w14:paraId="0000001B" w14:textId="77777777" w:rsidR="00EC7AF8" w:rsidRDefault="000735CD">
      <w:pPr>
        <w:numPr>
          <w:ilvl w:val="0"/>
          <w:numId w:val="1"/>
        </w:numPr>
      </w:pPr>
      <w:r>
        <w:t>Climate Action Network (CAN) Europe</w:t>
      </w:r>
    </w:p>
    <w:p w14:paraId="0000001C" w14:textId="77777777" w:rsidR="00EC7AF8" w:rsidRDefault="000735CD">
      <w:pPr>
        <w:numPr>
          <w:ilvl w:val="0"/>
          <w:numId w:val="1"/>
        </w:numPr>
      </w:pPr>
      <w:r>
        <w:t>Corporate Leaders Group (CLG) Europe</w:t>
      </w:r>
    </w:p>
    <w:p w14:paraId="0000001D" w14:textId="77777777" w:rsidR="00EC7AF8" w:rsidRDefault="000735CD">
      <w:pPr>
        <w:numPr>
          <w:ilvl w:val="0"/>
          <w:numId w:val="1"/>
        </w:numPr>
      </w:pPr>
      <w:r>
        <w:t>Energy Cities</w:t>
      </w:r>
    </w:p>
    <w:p w14:paraId="0000001E" w14:textId="77777777" w:rsidR="00EC7AF8" w:rsidRDefault="000735CD">
      <w:pPr>
        <w:numPr>
          <w:ilvl w:val="0"/>
          <w:numId w:val="1"/>
        </w:numPr>
      </w:pPr>
      <w:r>
        <w:t>Environmental Coalition on Standards (ECOS)</w:t>
      </w:r>
    </w:p>
    <w:p w14:paraId="0000001F" w14:textId="77777777" w:rsidR="00EC7AF8" w:rsidRDefault="000735CD">
      <w:pPr>
        <w:numPr>
          <w:ilvl w:val="0"/>
          <w:numId w:val="1"/>
        </w:numPr>
      </w:pPr>
      <w:r>
        <w:t>European Environmental Bureau (EEB)</w:t>
      </w:r>
    </w:p>
    <w:p w14:paraId="00000020" w14:textId="77777777" w:rsidR="00EC7AF8" w:rsidRDefault="000735CD">
      <w:pPr>
        <w:numPr>
          <w:ilvl w:val="0"/>
          <w:numId w:val="1"/>
        </w:numPr>
      </w:pPr>
      <w:r>
        <w:t>Eurocities</w:t>
      </w:r>
    </w:p>
    <w:p w14:paraId="00000021" w14:textId="77777777" w:rsidR="00EC7AF8" w:rsidRPr="00061ECC" w:rsidRDefault="000735CD">
      <w:pPr>
        <w:numPr>
          <w:ilvl w:val="0"/>
          <w:numId w:val="1"/>
        </w:numPr>
        <w:rPr>
          <w:lang w:val="en-GB"/>
        </w:rPr>
      </w:pPr>
      <w:r w:rsidRPr="00061ECC">
        <w:rPr>
          <w:lang w:val="en-GB"/>
        </w:rPr>
        <w:t>ICLEI - Local Governments for Sustainability - Europe</w:t>
      </w:r>
    </w:p>
    <w:p w14:paraId="00000022" w14:textId="77777777" w:rsidR="00EC7AF8" w:rsidRPr="00061ECC" w:rsidRDefault="000735CD">
      <w:pPr>
        <w:numPr>
          <w:ilvl w:val="0"/>
          <w:numId w:val="1"/>
        </w:numPr>
        <w:rPr>
          <w:lang w:val="en-GB"/>
        </w:rPr>
      </w:pPr>
      <w:r w:rsidRPr="00061ECC">
        <w:rPr>
          <w:lang w:val="en-GB"/>
        </w:rPr>
        <w:t>International Federation of Landscape Architects - IFLA Euro</w:t>
      </w:r>
      <w:r w:rsidRPr="00061ECC">
        <w:rPr>
          <w:lang w:val="en-GB"/>
        </w:rPr>
        <w:t>pe</w:t>
      </w:r>
    </w:p>
    <w:p w14:paraId="00000023" w14:textId="77777777" w:rsidR="00EC7AF8" w:rsidRDefault="000735CD">
      <w:pPr>
        <w:numPr>
          <w:ilvl w:val="0"/>
          <w:numId w:val="1"/>
        </w:numPr>
      </w:pPr>
      <w:r>
        <w:t>Fire Safe Europe</w:t>
      </w:r>
    </w:p>
    <w:p w14:paraId="00000024" w14:textId="77777777" w:rsidR="00EC7AF8" w:rsidRPr="00061ECC" w:rsidRDefault="000735CD">
      <w:pPr>
        <w:numPr>
          <w:ilvl w:val="0"/>
          <w:numId w:val="1"/>
        </w:numPr>
        <w:rPr>
          <w:lang w:val="en-GB"/>
        </w:rPr>
      </w:pPr>
      <w:r w:rsidRPr="00061ECC">
        <w:rPr>
          <w:lang w:val="en-GB"/>
        </w:rPr>
        <w:t>RICS – Royal Institute of Chartered Surveyors</w:t>
      </w:r>
    </w:p>
    <w:p w14:paraId="00000025" w14:textId="77777777" w:rsidR="00EC7AF8" w:rsidRDefault="000735CD">
      <w:pPr>
        <w:numPr>
          <w:ilvl w:val="0"/>
          <w:numId w:val="1"/>
        </w:numPr>
      </w:pPr>
      <w:r>
        <w:t>RREUSE</w:t>
      </w:r>
    </w:p>
    <w:p w14:paraId="1A27569D" w14:textId="77777777" w:rsidR="00061ECC" w:rsidRDefault="000735CD" w:rsidP="00061ECC">
      <w:pPr>
        <w:pStyle w:val="ListParagraph"/>
        <w:numPr>
          <w:ilvl w:val="0"/>
          <w:numId w:val="1"/>
        </w:numPr>
        <w:spacing w:after="240"/>
        <w:rPr>
          <w:lang w:val="en-GB"/>
        </w:rPr>
      </w:pPr>
      <w:r w:rsidRPr="00061ECC">
        <w:rPr>
          <w:lang w:val="en-GB"/>
        </w:rPr>
        <w:t>Sandbag - smarter climate policy</w:t>
      </w:r>
    </w:p>
    <w:p w14:paraId="00000026" w14:textId="74F39F36" w:rsidR="00EC7AF8" w:rsidRPr="00061ECC" w:rsidRDefault="00061ECC" w:rsidP="00061ECC">
      <w:pPr>
        <w:pStyle w:val="ListParagraph"/>
        <w:numPr>
          <w:ilvl w:val="0"/>
          <w:numId w:val="1"/>
        </w:numPr>
        <w:spacing w:after="240"/>
        <w:rPr>
          <w:lang w:val="en-GB"/>
        </w:rPr>
      </w:pPr>
      <w:r w:rsidRPr="00061ECC">
        <w:rPr>
          <w:lang w:val="en-GB"/>
        </w:rPr>
        <w:t>World Green Building Council</w:t>
      </w:r>
      <w:r>
        <w:rPr>
          <w:lang w:val="en-GB"/>
        </w:rPr>
        <w:t xml:space="preserve"> (WGBC) </w:t>
      </w:r>
      <w:r w:rsidR="00ED4250">
        <w:rPr>
          <w:lang w:val="en-GB"/>
        </w:rPr>
        <w:t xml:space="preserve">Europe </w:t>
      </w:r>
      <w:r w:rsidR="000735CD" w:rsidRPr="00061ECC">
        <w:rPr>
          <w:lang w:val="en-GB"/>
        </w:rPr>
        <w:br/>
      </w:r>
    </w:p>
    <w:p w14:paraId="5D3CD816" w14:textId="77777777" w:rsidR="00061ECC" w:rsidRPr="00ED4250" w:rsidRDefault="00061ECC">
      <w:pPr>
        <w:spacing w:before="240" w:after="240"/>
        <w:rPr>
          <w:b/>
          <w:lang w:val="en-GB"/>
        </w:rPr>
      </w:pPr>
    </w:p>
    <w:p w14:paraId="00000027" w14:textId="6A97D114" w:rsidR="00EC7AF8" w:rsidRDefault="000735CD">
      <w:pPr>
        <w:spacing w:before="240" w:after="240"/>
        <w:rPr>
          <w:b/>
        </w:rPr>
      </w:pPr>
      <w:r>
        <w:rPr>
          <w:b/>
        </w:rPr>
        <w:lastRenderedPageBreak/>
        <w:t>N</w:t>
      </w:r>
      <w:r>
        <w:rPr>
          <w:b/>
        </w:rPr>
        <w:t xml:space="preserve">ational organisations </w:t>
      </w:r>
    </w:p>
    <w:p w14:paraId="00000028" w14:textId="77777777" w:rsidR="00EC7AF8" w:rsidRDefault="000735CD">
      <w:pPr>
        <w:numPr>
          <w:ilvl w:val="0"/>
          <w:numId w:val="1"/>
        </w:numPr>
        <w:spacing w:before="240"/>
      </w:pPr>
      <w:r>
        <w:t>Ecocity (Greece)</w:t>
      </w:r>
    </w:p>
    <w:p w14:paraId="00000029" w14:textId="77777777" w:rsidR="00EC7AF8" w:rsidRDefault="000735CD">
      <w:pPr>
        <w:numPr>
          <w:ilvl w:val="0"/>
          <w:numId w:val="1"/>
        </w:numPr>
      </w:pPr>
      <w:r>
        <w:t>Ecoteca (Romania)</w:t>
      </w:r>
    </w:p>
    <w:p w14:paraId="0000002A" w14:textId="77777777" w:rsidR="00EC7AF8" w:rsidRDefault="000735CD">
      <w:pPr>
        <w:numPr>
          <w:ilvl w:val="0"/>
          <w:numId w:val="1"/>
        </w:numPr>
      </w:pPr>
      <w:r>
        <w:t>Environment Engineering Group (Serbia)</w:t>
      </w:r>
    </w:p>
    <w:p w14:paraId="0000002B" w14:textId="77777777" w:rsidR="00EC7AF8" w:rsidRDefault="000735CD">
      <w:pPr>
        <w:numPr>
          <w:ilvl w:val="0"/>
          <w:numId w:val="1"/>
        </w:numPr>
      </w:pPr>
      <w:r>
        <w:t>Deutsche Umwelthlife (Germany)</w:t>
      </w:r>
    </w:p>
    <w:p w14:paraId="0000002C" w14:textId="77777777" w:rsidR="00EC7AF8" w:rsidRDefault="000735CD">
      <w:pPr>
        <w:numPr>
          <w:ilvl w:val="0"/>
          <w:numId w:val="1"/>
        </w:numPr>
      </w:pPr>
      <w:r>
        <w:t>The Circular Economy</w:t>
      </w:r>
      <w:r>
        <w:t xml:space="preserve"> Institute - IGOZ (Poland)</w:t>
      </w:r>
    </w:p>
    <w:p w14:paraId="0000002D" w14:textId="77777777" w:rsidR="00EC7AF8" w:rsidRDefault="000735CD">
      <w:pPr>
        <w:numPr>
          <w:ilvl w:val="0"/>
          <w:numId w:val="1"/>
        </w:numPr>
      </w:pPr>
      <w:r>
        <w:t xml:space="preserve">Friends of the Earth Bulgaria </w:t>
      </w:r>
    </w:p>
    <w:p w14:paraId="0000002E" w14:textId="77777777" w:rsidR="00EC7AF8" w:rsidRDefault="000735CD">
      <w:pPr>
        <w:numPr>
          <w:ilvl w:val="0"/>
          <w:numId w:val="1"/>
        </w:numPr>
      </w:pPr>
      <w:r>
        <w:t>Global2000 (Austria)</w:t>
      </w:r>
    </w:p>
    <w:p w14:paraId="0000002F" w14:textId="77777777" w:rsidR="00EC7AF8" w:rsidRDefault="000735CD">
      <w:pPr>
        <w:numPr>
          <w:ilvl w:val="0"/>
          <w:numId w:val="1"/>
        </w:numPr>
      </w:pPr>
      <w:r>
        <w:t>Levego Munkacsoport (Hungary)</w:t>
      </w:r>
    </w:p>
    <w:p w14:paraId="00000030" w14:textId="77777777" w:rsidR="00EC7AF8" w:rsidRDefault="000735CD">
      <w:pPr>
        <w:numPr>
          <w:ilvl w:val="0"/>
          <w:numId w:val="1"/>
        </w:numPr>
      </w:pPr>
      <w:r>
        <w:t>Natuur &amp; Milieu (Netherlands)</w:t>
      </w:r>
    </w:p>
    <w:p w14:paraId="00000031" w14:textId="77777777" w:rsidR="00EC7AF8" w:rsidRPr="00061ECC" w:rsidRDefault="000735CD">
      <w:pPr>
        <w:numPr>
          <w:ilvl w:val="0"/>
          <w:numId w:val="1"/>
        </w:numPr>
        <w:rPr>
          <w:lang w:val="en-GB"/>
        </w:rPr>
      </w:pPr>
      <w:r w:rsidRPr="00061ECC">
        <w:rPr>
          <w:lang w:val="en-GB"/>
        </w:rPr>
        <w:t>Mediterranean Information Office for Environment Culture and Sustainable Development MIO-ECSDE (Greece)</w:t>
      </w:r>
    </w:p>
    <w:p w14:paraId="00000032" w14:textId="77777777" w:rsidR="00EC7AF8" w:rsidRDefault="000735CD">
      <w:pPr>
        <w:numPr>
          <w:ilvl w:val="0"/>
          <w:numId w:val="1"/>
        </w:numPr>
      </w:pPr>
      <w:r>
        <w:t>Repairably (S</w:t>
      </w:r>
      <w:r>
        <w:t>lovakia)</w:t>
      </w:r>
    </w:p>
    <w:p w14:paraId="00000033" w14:textId="77777777" w:rsidR="00EC7AF8" w:rsidRDefault="000735CD">
      <w:pPr>
        <w:numPr>
          <w:ilvl w:val="0"/>
          <w:numId w:val="1"/>
        </w:numPr>
      </w:pPr>
      <w:r>
        <w:t>VšĮ "Žiedinė ekonomika" (Lithuania)</w:t>
      </w:r>
    </w:p>
    <w:p w14:paraId="00000034" w14:textId="77777777" w:rsidR="00EC7AF8" w:rsidRDefault="000735CD">
      <w:pPr>
        <w:numPr>
          <w:ilvl w:val="0"/>
          <w:numId w:val="1"/>
        </w:numPr>
      </w:pPr>
      <w:r>
        <w:t>Zala Briviba (Latvia)</w:t>
      </w:r>
    </w:p>
    <w:p w14:paraId="00000035" w14:textId="77777777" w:rsidR="00EC7AF8" w:rsidRDefault="000735CD">
      <w:pPr>
        <w:numPr>
          <w:ilvl w:val="0"/>
          <w:numId w:val="1"/>
        </w:numPr>
      </w:pPr>
      <w:r>
        <w:t>ZERO – Associação Sistema Terrestre Sustentável (Portugal)</w:t>
      </w:r>
    </w:p>
    <w:p w14:paraId="00000036" w14:textId="77777777" w:rsidR="00EC7AF8" w:rsidRDefault="000735CD">
      <w:pPr>
        <w:numPr>
          <w:ilvl w:val="0"/>
          <w:numId w:val="1"/>
        </w:numPr>
      </w:pPr>
      <w:r>
        <w:t>Zero Waste France (France)</w:t>
      </w:r>
    </w:p>
    <w:p w14:paraId="00000037" w14:textId="77777777" w:rsidR="00EC7AF8" w:rsidRDefault="000735CD">
      <w:pPr>
        <w:numPr>
          <w:ilvl w:val="0"/>
          <w:numId w:val="1"/>
        </w:numPr>
        <w:spacing w:after="240"/>
      </w:pPr>
      <w:r>
        <w:t>Zero Waste Association (Poland)</w:t>
      </w:r>
    </w:p>
    <w:p w14:paraId="00000038" w14:textId="77777777" w:rsidR="00EC7AF8" w:rsidRDefault="000735CD">
      <w:pPr>
        <w:spacing w:before="240" w:after="240"/>
      </w:pPr>
      <w:r>
        <w:rPr>
          <w:b/>
        </w:rPr>
        <w:t xml:space="preserve"> </w:t>
      </w:r>
      <w:r>
        <w:t xml:space="preserve"> </w:t>
      </w:r>
    </w:p>
    <w:p w14:paraId="00000039" w14:textId="77777777" w:rsidR="00EC7AF8" w:rsidRDefault="000735CD">
      <w:pPr>
        <w:spacing w:before="240" w:after="240"/>
      </w:pPr>
      <w:r>
        <w:t xml:space="preserve"> </w:t>
      </w:r>
    </w:p>
    <w:p w14:paraId="0000003A" w14:textId="77777777" w:rsidR="00EC7AF8" w:rsidRDefault="000735CD" w:rsidP="00061ECC">
      <w:pPr>
        <w:spacing w:before="240" w:after="240"/>
        <w:jc w:val="both"/>
      </w:pPr>
      <w:r>
        <w:rPr>
          <w:b/>
        </w:rPr>
        <w:t>Notes to editors</w:t>
      </w:r>
    </w:p>
    <w:p w14:paraId="0000003B" w14:textId="77777777" w:rsidR="00EC7AF8" w:rsidRDefault="000735CD" w:rsidP="00061ECC">
      <w:pPr>
        <w:spacing w:before="240" w:after="240"/>
        <w:jc w:val="both"/>
      </w:pPr>
      <w:r>
        <w:t>[1] Link to letter</w:t>
      </w:r>
    </w:p>
    <w:p w14:paraId="0000003C" w14:textId="77777777" w:rsidR="00EC7AF8" w:rsidRDefault="000735CD" w:rsidP="00061ECC">
      <w:pPr>
        <w:spacing w:before="240" w:after="240"/>
        <w:jc w:val="both"/>
      </w:pPr>
      <w:r>
        <w:t>[2] European Commission figures:</w:t>
      </w:r>
      <w:hyperlink r:id="rId5" w:anchor="ecl-inpage-261">
        <w:r>
          <w:t xml:space="preserve"> </w:t>
        </w:r>
      </w:hyperlink>
      <w:hyperlink r:id="rId6" w:anchor="ecl-inpage-261">
        <w:r>
          <w:rPr>
            <w:color w:val="1155CC"/>
            <w:u w:val="single"/>
          </w:rPr>
          <w:t>https://ec.</w:t>
        </w:r>
        <w:r>
          <w:rPr>
            <w:color w:val="1155CC"/>
            <w:u w:val="single"/>
          </w:rPr>
          <w:t>europa.eu/environment/topics/circular-economy/levels_en#ecl-inpage-261</w:t>
        </w:r>
      </w:hyperlink>
      <w:r>
        <w:t xml:space="preserve"> and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https://ec.europa.eu/easme/en/news/sustainable-buildings-europe-s-climate-neutral-future</w:t>
        </w:r>
      </w:hyperlink>
    </w:p>
    <w:p w14:paraId="0000003D" w14:textId="77777777" w:rsidR="00EC7AF8" w:rsidRPr="00061ECC" w:rsidRDefault="000735CD" w:rsidP="00061ECC">
      <w:pPr>
        <w:spacing w:before="240" w:after="240"/>
        <w:jc w:val="both"/>
        <w:rPr>
          <w:lang w:val="en-GB"/>
        </w:rPr>
      </w:pPr>
      <w:r w:rsidRPr="00061ECC">
        <w:rPr>
          <w:lang w:val="en-GB"/>
        </w:rPr>
        <w:t>[3] Policies proposes to form part of EU Strategy for a Sustainable Built Environment: Construction Products Regulation, use of LEVE</w:t>
      </w:r>
      <w:r w:rsidRPr="00061ECC">
        <w:rPr>
          <w:lang w:val="en-GB"/>
        </w:rPr>
        <w:t>L(s) in public procurement and the EU sustainable finance framework, addressing Construction &amp; Demolition Waste, LEVEL(s) and soil-related policies, as well as the Renovation Wave</w:t>
      </w:r>
    </w:p>
    <w:p w14:paraId="0000003E" w14:textId="77777777" w:rsidR="00EC7AF8" w:rsidRPr="00061ECC" w:rsidRDefault="000735CD" w:rsidP="00061ECC">
      <w:pPr>
        <w:spacing w:before="240" w:after="240"/>
        <w:jc w:val="both"/>
        <w:rPr>
          <w:lang w:val="en-GB"/>
        </w:rPr>
      </w:pPr>
      <w:r w:rsidRPr="00061ECC">
        <w:rPr>
          <w:lang w:val="en-GB"/>
        </w:rPr>
        <w:t>[4] Relevant policies not mentioned in the CEAP: Energy Efficiency Directive and Energy Performance of Buildings Directive</w:t>
      </w:r>
    </w:p>
    <w:p w14:paraId="0000003F" w14:textId="77777777" w:rsidR="00EC7AF8" w:rsidRPr="00061ECC" w:rsidRDefault="00EC7AF8">
      <w:pPr>
        <w:rPr>
          <w:lang w:val="en-GB"/>
        </w:rPr>
      </w:pPr>
    </w:p>
    <w:sectPr w:rsidR="00EC7AF8" w:rsidRPr="00061E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02A7"/>
    <w:multiLevelType w:val="multilevel"/>
    <w:tmpl w:val="04DCD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B91693"/>
    <w:multiLevelType w:val="multilevel"/>
    <w:tmpl w:val="82A47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F8"/>
    <w:rsid w:val="00061ECC"/>
    <w:rsid w:val="000735CD"/>
    <w:rsid w:val="00EC7AF8"/>
    <w:rsid w:val="00E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CC41"/>
  <w15:docId w15:val="{C5AB5E29-00F8-475C-B7E1-EFEFF79B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6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asme/en/news/sustainable-buildings-europe-s-climate-neutral-fu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asme/en/news/sustainable-buildings-europe-s-climate-neutral-fu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environment/topics/circular-economy/levels_en" TargetMode="External"/><Relationship Id="rId5" Type="http://schemas.openxmlformats.org/officeDocument/2006/relationships/hyperlink" Target="https://ec.europa.eu/environment/topics/circular-economy/levels_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Neaves</cp:lastModifiedBy>
  <cp:revision>4</cp:revision>
  <dcterms:created xsi:type="dcterms:W3CDTF">2021-03-10T15:00:00Z</dcterms:created>
  <dcterms:modified xsi:type="dcterms:W3CDTF">2021-03-10T15:17:00Z</dcterms:modified>
</cp:coreProperties>
</file>